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029" w:rsidRDefault="00F155D2">
      <w:pPr>
        <w:spacing w:after="40" w:line="259" w:lineRule="auto"/>
        <w:ind w:left="626" w:right="0" w:firstLine="0"/>
        <w:jc w:val="center"/>
      </w:pPr>
      <w:r>
        <w:rPr>
          <w:noProof/>
        </w:rPr>
        <w:drawing>
          <wp:anchor distT="0" distB="0" distL="114300" distR="114300" simplePos="0" relativeHeight="251660288" behindDoc="0" locked="0" layoutInCell="1" allowOverlap="0">
            <wp:simplePos x="0" y="0"/>
            <wp:positionH relativeFrom="column">
              <wp:posOffset>397510</wp:posOffset>
            </wp:positionH>
            <wp:positionV relativeFrom="paragraph">
              <wp:posOffset>-4967</wp:posOffset>
            </wp:positionV>
            <wp:extent cx="1333500" cy="390525"/>
            <wp:effectExtent l="0" t="0" r="0" b="0"/>
            <wp:wrapSquare wrapText="bothSides"/>
            <wp:docPr id="187" name="Picture 187"/>
            <wp:cNvGraphicFramePr/>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4"/>
                    <a:stretch>
                      <a:fillRect/>
                    </a:stretch>
                  </pic:blipFill>
                  <pic:spPr>
                    <a:xfrm>
                      <a:off x="0" y="0"/>
                      <a:ext cx="1333500" cy="390525"/>
                    </a:xfrm>
                    <a:prstGeom prst="rect">
                      <a:avLst/>
                    </a:prstGeom>
                  </pic:spPr>
                </pic:pic>
              </a:graphicData>
            </a:graphic>
          </wp:anchor>
        </w:drawing>
      </w:r>
      <w:r>
        <w:rPr>
          <w:rFonts w:ascii="Arial" w:eastAsia="Arial" w:hAnsi="Arial" w:cs="Arial"/>
          <w:b/>
          <w:sz w:val="26"/>
        </w:rPr>
        <w:t xml:space="preserve"> </w:t>
      </w:r>
    </w:p>
    <w:p w:rsidR="00985029" w:rsidRDefault="00F155D2">
      <w:pPr>
        <w:tabs>
          <w:tab w:val="center" w:pos="2727"/>
          <w:tab w:val="center" w:pos="6272"/>
          <w:tab w:val="center" w:pos="8806"/>
        </w:tabs>
        <w:spacing w:line="259" w:lineRule="auto"/>
        <w:ind w:left="0" w:right="0" w:firstLine="0"/>
      </w:pPr>
      <w:r>
        <w:rPr>
          <w:rFonts w:ascii="Calibri" w:eastAsia="Calibri" w:hAnsi="Calibri" w:cs="Calibri"/>
          <w:sz w:val="22"/>
        </w:rPr>
        <w:tab/>
      </w:r>
      <w:r>
        <w:rPr>
          <w:sz w:val="2"/>
        </w:rPr>
        <w:t xml:space="preserve"> </w:t>
      </w:r>
      <w:r>
        <w:rPr>
          <w:sz w:val="2"/>
        </w:rPr>
        <w:tab/>
      </w:r>
      <w:proofErr w:type="gramStart"/>
      <w:r>
        <w:rPr>
          <w:rFonts w:ascii="Arial" w:eastAsia="Arial" w:hAnsi="Arial" w:cs="Arial"/>
          <w:b/>
          <w:sz w:val="16"/>
        </w:rPr>
        <w:t xml:space="preserve">Datum </w:t>
      </w:r>
      <w:r>
        <w:rPr>
          <w:rFonts w:ascii="Arial" w:eastAsia="Arial" w:hAnsi="Arial" w:cs="Arial"/>
          <w:sz w:val="16"/>
        </w:rPr>
        <w:t xml:space="preserve"> </w:t>
      </w:r>
      <w:r>
        <w:rPr>
          <w:rFonts w:ascii="Arial" w:eastAsia="Arial" w:hAnsi="Arial" w:cs="Arial"/>
          <w:b/>
          <w:sz w:val="16"/>
        </w:rPr>
        <w:t>2024</w:t>
      </w:r>
      <w:proofErr w:type="gramEnd"/>
      <w:r>
        <w:rPr>
          <w:rFonts w:ascii="Arial" w:eastAsia="Arial" w:hAnsi="Arial" w:cs="Arial"/>
          <w:b/>
          <w:sz w:val="16"/>
        </w:rPr>
        <w:t xml:space="preserve">-04-30 </w:t>
      </w:r>
      <w:r>
        <w:rPr>
          <w:rFonts w:ascii="Arial" w:eastAsia="Arial" w:hAnsi="Arial" w:cs="Arial"/>
          <w:b/>
          <w:sz w:val="16"/>
        </w:rPr>
        <w:tab/>
        <w:t>Dnr</w:t>
      </w:r>
      <w:r>
        <w:rPr>
          <w:rFonts w:ascii="Arial" w:eastAsia="Arial" w:hAnsi="Arial" w:cs="Arial"/>
          <w:b/>
          <w:sz w:val="16"/>
        </w:rPr>
        <w:t xml:space="preserve"> RS 2024/1176 </w:t>
      </w:r>
    </w:p>
    <w:tbl>
      <w:tblPr>
        <w:tblStyle w:val="TableGrid"/>
        <w:tblW w:w="8336" w:type="dxa"/>
        <w:tblInd w:w="627" w:type="dxa"/>
        <w:tblCellMar>
          <w:top w:w="5" w:type="dxa"/>
          <w:left w:w="0" w:type="dxa"/>
          <w:bottom w:w="0" w:type="dxa"/>
          <w:right w:w="0" w:type="dxa"/>
        </w:tblCellMar>
        <w:tblLook w:val="04A0" w:firstRow="1" w:lastRow="0" w:firstColumn="1" w:lastColumn="0" w:noHBand="0" w:noVBand="1"/>
      </w:tblPr>
      <w:tblGrid>
        <w:gridCol w:w="4933"/>
        <w:gridCol w:w="3403"/>
      </w:tblGrid>
      <w:tr w:rsidR="00985029">
        <w:trPr>
          <w:trHeight w:val="433"/>
        </w:trPr>
        <w:tc>
          <w:tcPr>
            <w:tcW w:w="4933" w:type="dxa"/>
            <w:tcBorders>
              <w:top w:val="nil"/>
              <w:left w:val="nil"/>
              <w:bottom w:val="nil"/>
              <w:right w:val="nil"/>
            </w:tcBorders>
          </w:tcPr>
          <w:p w:rsidR="00985029" w:rsidRDefault="00F155D2">
            <w:pPr>
              <w:spacing w:line="259" w:lineRule="auto"/>
              <w:ind w:left="0" w:right="0" w:firstLine="0"/>
            </w:pPr>
            <w:r>
              <w:rPr>
                <w:rFonts w:ascii="Arial" w:eastAsia="Arial" w:hAnsi="Arial" w:cs="Arial"/>
                <w:b/>
                <w:sz w:val="22"/>
              </w:rPr>
              <w:t xml:space="preserve"> </w:t>
            </w:r>
            <w:r>
              <w:rPr>
                <w:rFonts w:ascii="Arial" w:eastAsia="Arial" w:hAnsi="Arial" w:cs="Arial"/>
                <w:b/>
                <w:sz w:val="16"/>
              </w:rPr>
              <w:t xml:space="preserve"> </w:t>
            </w:r>
          </w:p>
        </w:tc>
        <w:tc>
          <w:tcPr>
            <w:tcW w:w="3403" w:type="dxa"/>
            <w:tcBorders>
              <w:top w:val="nil"/>
              <w:left w:val="nil"/>
              <w:bottom w:val="nil"/>
              <w:right w:val="nil"/>
            </w:tcBorders>
          </w:tcPr>
          <w:p w:rsidR="00985029" w:rsidRDefault="00F155D2">
            <w:pPr>
              <w:spacing w:line="259" w:lineRule="auto"/>
              <w:ind w:left="0" w:right="0" w:firstLine="0"/>
            </w:pPr>
            <w:r>
              <w:rPr>
                <w:rFonts w:ascii="Arial" w:eastAsia="Arial" w:hAnsi="Arial" w:cs="Arial"/>
                <w:sz w:val="16"/>
              </w:rPr>
              <w:t xml:space="preserve"> </w:t>
            </w:r>
            <w:r>
              <w:rPr>
                <w:rFonts w:ascii="Arial" w:eastAsia="Arial" w:hAnsi="Arial" w:cs="Arial"/>
                <w:sz w:val="16"/>
              </w:rPr>
              <w:tab/>
              <w:t xml:space="preserve"> </w:t>
            </w:r>
          </w:p>
          <w:p w:rsidR="00985029" w:rsidRDefault="00F155D2">
            <w:pPr>
              <w:spacing w:line="259" w:lineRule="auto"/>
              <w:ind w:left="0" w:right="42" w:firstLine="0"/>
              <w:jc w:val="right"/>
            </w:pPr>
            <w:r>
              <w:rPr>
                <w:rFonts w:ascii="Arial" w:eastAsia="Arial" w:hAnsi="Arial" w:cs="Arial"/>
                <w:sz w:val="16"/>
              </w:rPr>
              <w:t xml:space="preserve">Sida </w:t>
            </w:r>
            <w:r>
              <w:rPr>
                <w:rFonts w:ascii="Arial" w:eastAsia="Arial" w:hAnsi="Arial" w:cs="Arial"/>
                <w:b/>
                <w:sz w:val="16"/>
              </w:rPr>
              <w:t>1</w:t>
            </w:r>
            <w:r>
              <w:rPr>
                <w:rFonts w:ascii="Arial" w:eastAsia="Arial" w:hAnsi="Arial" w:cs="Arial"/>
                <w:sz w:val="16"/>
              </w:rPr>
              <w:t xml:space="preserve"> av </w:t>
            </w:r>
            <w:r>
              <w:rPr>
                <w:rFonts w:ascii="Arial" w:eastAsia="Arial" w:hAnsi="Arial" w:cs="Arial"/>
                <w:b/>
                <w:sz w:val="16"/>
              </w:rPr>
              <w:t>2</w:t>
            </w:r>
            <w:r>
              <w:rPr>
                <w:rFonts w:ascii="Arial" w:eastAsia="Arial" w:hAnsi="Arial" w:cs="Arial"/>
                <w:sz w:val="16"/>
              </w:rPr>
              <w:t xml:space="preserve"> </w:t>
            </w:r>
          </w:p>
        </w:tc>
      </w:tr>
      <w:tr w:rsidR="00985029">
        <w:trPr>
          <w:trHeight w:val="233"/>
        </w:trPr>
        <w:tc>
          <w:tcPr>
            <w:tcW w:w="4933" w:type="dxa"/>
            <w:tcBorders>
              <w:top w:val="nil"/>
              <w:left w:val="nil"/>
              <w:bottom w:val="nil"/>
              <w:right w:val="nil"/>
            </w:tcBorders>
          </w:tcPr>
          <w:p w:rsidR="00985029" w:rsidRDefault="00F155D2">
            <w:pPr>
              <w:spacing w:line="259" w:lineRule="auto"/>
              <w:ind w:left="0" w:right="0" w:firstLine="0"/>
            </w:pPr>
            <w:r>
              <w:rPr>
                <w:rFonts w:ascii="Arial" w:eastAsia="Arial" w:hAnsi="Arial" w:cs="Arial"/>
                <w:b/>
                <w:sz w:val="16"/>
              </w:rPr>
              <w:t xml:space="preserve">Havs- </w:t>
            </w:r>
            <w:r>
              <w:rPr>
                <w:rFonts w:ascii="Arial" w:eastAsia="Arial" w:hAnsi="Arial" w:cs="Arial"/>
                <w:b/>
                <w:sz w:val="16"/>
              </w:rPr>
              <w:t xml:space="preserve">och Vattenmyndigheten </w:t>
            </w:r>
          </w:p>
        </w:tc>
        <w:tc>
          <w:tcPr>
            <w:tcW w:w="3403" w:type="dxa"/>
            <w:tcBorders>
              <w:top w:val="nil"/>
              <w:left w:val="nil"/>
              <w:bottom w:val="nil"/>
              <w:right w:val="nil"/>
            </w:tcBorders>
          </w:tcPr>
          <w:p w:rsidR="00985029" w:rsidRDefault="00F155D2">
            <w:pPr>
              <w:spacing w:line="259" w:lineRule="auto"/>
              <w:ind w:left="0" w:right="0" w:firstLine="0"/>
            </w:pPr>
            <w:r>
              <w:rPr>
                <w:rFonts w:ascii="Arial" w:eastAsia="Arial" w:hAnsi="Arial" w:cs="Arial"/>
                <w:b/>
                <w:sz w:val="16"/>
              </w:rPr>
              <w:t xml:space="preserve">Mottagarens dnr </w:t>
            </w:r>
            <w:proofErr w:type="spellStart"/>
            <w:r>
              <w:rPr>
                <w:rFonts w:ascii="Arial" w:eastAsia="Arial" w:hAnsi="Arial" w:cs="Arial"/>
                <w:b/>
                <w:sz w:val="16"/>
              </w:rPr>
              <w:t>HaV</w:t>
            </w:r>
            <w:proofErr w:type="spellEnd"/>
            <w:r>
              <w:rPr>
                <w:rFonts w:ascii="Arial" w:eastAsia="Arial" w:hAnsi="Arial" w:cs="Arial"/>
                <w:b/>
                <w:sz w:val="16"/>
              </w:rPr>
              <w:t xml:space="preserve"> </w:t>
            </w:r>
            <w:proofErr w:type="gramStart"/>
            <w:r>
              <w:rPr>
                <w:rFonts w:ascii="Arial" w:eastAsia="Arial" w:hAnsi="Arial" w:cs="Arial"/>
                <w:b/>
                <w:sz w:val="16"/>
              </w:rPr>
              <w:t>2023-001156</w:t>
            </w:r>
            <w:proofErr w:type="gramEnd"/>
            <w:r>
              <w:rPr>
                <w:rFonts w:ascii="Arial" w:eastAsia="Arial" w:hAnsi="Arial" w:cs="Arial"/>
                <w:b/>
                <w:sz w:val="16"/>
              </w:rPr>
              <w:t xml:space="preserve"> </w:t>
            </w:r>
          </w:p>
        </w:tc>
      </w:tr>
    </w:tbl>
    <w:p w:rsidR="00985029" w:rsidRDefault="00F155D2">
      <w:pPr>
        <w:spacing w:after="256" w:line="259" w:lineRule="auto"/>
        <w:ind w:left="1097" w:right="0" w:firstLine="0"/>
      </w:pPr>
      <w:r>
        <w:t xml:space="preserve"> </w:t>
      </w:r>
    </w:p>
    <w:p w:rsidR="00985029" w:rsidRDefault="00F155D2">
      <w:pPr>
        <w:spacing w:line="259" w:lineRule="auto"/>
        <w:ind w:left="1092" w:right="0"/>
      </w:pPr>
      <w:r>
        <w:rPr>
          <w:rFonts w:ascii="Arial" w:eastAsia="Arial" w:hAnsi="Arial" w:cs="Arial"/>
          <w:b/>
          <w:sz w:val="28"/>
        </w:rPr>
        <w:t xml:space="preserve">Svar på remiss gällande en översyn och aktualisering av </w:t>
      </w:r>
    </w:p>
    <w:p w:rsidR="00985029" w:rsidRDefault="00F155D2" w:rsidP="00F155D2">
      <w:pPr>
        <w:spacing w:line="259" w:lineRule="auto"/>
        <w:ind w:left="1092" w:right="0"/>
      </w:pPr>
      <w:r>
        <w:rPr>
          <w:rFonts w:ascii="Arial" w:eastAsia="Arial" w:hAnsi="Arial" w:cs="Arial"/>
          <w:b/>
          <w:sz w:val="28"/>
        </w:rPr>
        <w:t>hamnarna av riksintresse för yrkesfisket (</w:t>
      </w:r>
      <w:proofErr w:type="spellStart"/>
      <w:r>
        <w:rPr>
          <w:rFonts w:ascii="Arial" w:eastAsia="Arial" w:hAnsi="Arial" w:cs="Arial"/>
          <w:b/>
          <w:sz w:val="28"/>
        </w:rPr>
        <w:t>HaV</w:t>
      </w:r>
      <w:proofErr w:type="spellEnd"/>
      <w:r>
        <w:rPr>
          <w:rFonts w:ascii="Arial" w:eastAsia="Arial" w:hAnsi="Arial" w:cs="Arial"/>
          <w:b/>
          <w:sz w:val="28"/>
        </w:rPr>
        <w:t xml:space="preserve"> </w:t>
      </w:r>
      <w:proofErr w:type="gramStart"/>
      <w:r>
        <w:rPr>
          <w:rFonts w:ascii="Arial" w:eastAsia="Arial" w:hAnsi="Arial" w:cs="Arial"/>
          <w:b/>
          <w:sz w:val="28"/>
        </w:rPr>
        <w:t>2023-001156</w:t>
      </w:r>
      <w:proofErr w:type="gramEnd"/>
      <w:r>
        <w:rPr>
          <w:rFonts w:ascii="Arial" w:eastAsia="Arial" w:hAnsi="Arial" w:cs="Arial"/>
          <w:b/>
          <w:sz w:val="28"/>
        </w:rPr>
        <w:t>)</w:t>
      </w:r>
    </w:p>
    <w:p w:rsidR="00F155D2" w:rsidRDefault="00F155D2" w:rsidP="00F155D2">
      <w:pPr>
        <w:spacing w:line="259" w:lineRule="auto"/>
        <w:ind w:left="1092" w:right="0"/>
      </w:pPr>
      <w:bookmarkStart w:id="0" w:name="_GoBack"/>
      <w:bookmarkEnd w:id="0"/>
    </w:p>
    <w:p w:rsidR="00985029" w:rsidRDefault="00F155D2">
      <w:pPr>
        <w:spacing w:after="236" w:line="259" w:lineRule="auto"/>
        <w:ind w:left="1092" w:right="0"/>
      </w:pPr>
      <w:r>
        <w:rPr>
          <w:rFonts w:ascii="Arial" w:eastAsia="Arial" w:hAnsi="Arial" w:cs="Arial"/>
          <w:b/>
          <w:sz w:val="22"/>
        </w:rPr>
        <w:t xml:space="preserve">Sammanfattning </w:t>
      </w:r>
    </w:p>
    <w:p w:rsidR="00985029" w:rsidRDefault="00F155D2">
      <w:pPr>
        <w:ind w:left="1092" w:right="1061"/>
      </w:pPr>
      <w:r>
        <w:t xml:space="preserve">Region Gävleborg avstyrker att Norrsundet pekas ut som enda hamn av riksintresse för yrkesfisket i Gävleborgs län. Förslaget är i konflikt med implementering av nationell livsmedelsstrategi i Gävleborg och svarar därmed inte heller mot </w:t>
      </w:r>
      <w:proofErr w:type="spellStart"/>
      <w:r>
        <w:t>HaVs</w:t>
      </w:r>
      <w:proofErr w:type="spellEnd"/>
      <w:r>
        <w:t xml:space="preserve"> egen bedömnings</w:t>
      </w:r>
      <w:r>
        <w:t xml:space="preserve">grund ”fiskets förmåga att kunna bidra till livsmedelsförsörjning och livsmedelsproduktion”. Som regionalt </w:t>
      </w:r>
    </w:p>
    <w:p w:rsidR="00985029" w:rsidRDefault="00F155D2">
      <w:pPr>
        <w:ind w:left="1092" w:right="1061"/>
      </w:pPr>
      <w:r>
        <w:t xml:space="preserve">utvecklingsansvarig myndighet vill Region Gävleborg därtill uppmärksamma att yrkesfiske på lämpliga platser längs hela länets kust är avgörande för </w:t>
      </w:r>
      <w:r>
        <w:t xml:space="preserve">regional utveckling, i synnerhet besöksnäring, restaurangverksamhet, livsmedelshandel och möjligheter att bo, verka och leva i hela länet.  </w:t>
      </w:r>
    </w:p>
    <w:p w:rsidR="00985029" w:rsidRDefault="00F155D2">
      <w:pPr>
        <w:ind w:left="1092" w:right="1061"/>
      </w:pPr>
      <w:r>
        <w:t>För att främja yrkesfiskets förmåga att bidra till livsmedelsförsörjning, livsmedelsproduktion samt regional utveck</w:t>
      </w:r>
      <w:r>
        <w:t xml:space="preserve">ling anser Region Gävleborg att det är viktigt att hamnar i länet med befintlig infrastruktur och verksamhet för regional humankonsumtion pekas ut som riksintressen för yrkesfisket. Stocka, Skärså, Ljusne, Saltharsfjärden, Bönan och </w:t>
      </w:r>
      <w:proofErr w:type="spellStart"/>
      <w:r>
        <w:t>Engesberg</w:t>
      </w:r>
      <w:proofErr w:type="spellEnd"/>
      <w:r>
        <w:t xml:space="preserve"> är hamnar i G</w:t>
      </w:r>
      <w:r>
        <w:t>ävleborg med sådan infrastruktur och verksamhet och bör därför pekas ut som hamnar av riksintresse. Region Gävleborg anser att det är särskilt viktigt att använda riksintresset som verktyg när fisket sker i mindre skala eftersom aktörer med starkare ekonom</w:t>
      </w:r>
      <w:r>
        <w:t xml:space="preserve">i annars riskerar att konkurrera ut yrkesfisket på attraktiva lägen längs kusten. </w:t>
      </w:r>
    </w:p>
    <w:p w:rsidR="00985029" w:rsidRDefault="00F155D2">
      <w:pPr>
        <w:spacing w:after="160" w:line="259" w:lineRule="auto"/>
        <w:ind w:left="1097" w:right="0" w:firstLine="0"/>
      </w:pPr>
      <w:r>
        <w:t xml:space="preserve"> </w:t>
      </w:r>
    </w:p>
    <w:p w:rsidR="00985029" w:rsidRDefault="00F155D2">
      <w:pPr>
        <w:spacing w:after="236" w:line="259" w:lineRule="auto"/>
        <w:ind w:left="1092" w:right="0"/>
      </w:pPr>
      <w:r>
        <w:rPr>
          <w:rFonts w:ascii="Arial" w:eastAsia="Arial" w:hAnsi="Arial" w:cs="Arial"/>
          <w:b/>
          <w:sz w:val="22"/>
        </w:rPr>
        <w:t xml:space="preserve">Kommentarer </w:t>
      </w:r>
    </w:p>
    <w:p w:rsidR="00F155D2" w:rsidRDefault="00F155D2">
      <w:pPr>
        <w:ind w:left="1092" w:right="1139"/>
        <w:rPr>
          <w:b/>
        </w:rPr>
      </w:pPr>
      <w:r>
        <w:rPr>
          <w:b/>
        </w:rPr>
        <w:t xml:space="preserve">Gävleborgs handlingsplan för nationell livsmedelsstrategi </w:t>
      </w:r>
    </w:p>
    <w:p w:rsidR="00985029" w:rsidRDefault="00F155D2">
      <w:pPr>
        <w:ind w:left="1092" w:right="1139"/>
      </w:pPr>
      <w:r>
        <w:t xml:space="preserve">I Gävleborgs handlingsplan för genomförande av Sveriges nationella livsmedelsstrategi konstateras att geografiskt koncentrerad produktion ökar beroendet av transporter och för att minska transportberoendet behövs både fler företag som producerar livsmedel </w:t>
      </w:r>
      <w:r>
        <w:t>och fler företag som förädlar livsmedel. En produktionsökning skulle kunna bidra till en ökad självförsörjningsgrad av livsmedel och att sårbarheten i livsmedelskedjan minskar. Ett av två övergripande mål med Gävleborgs handlingsplan är att produktionsvärd</w:t>
      </w:r>
      <w:r>
        <w:t>et för den totala livsmedelsproduktionen i länet ska öka med 50 procent till år 2030. Givet att det finns ett ytterst begränsat utrymme för uttag av fisk i Östersjön är det småskaliga yrkesfisket med högt förädlingsvärde per fångad fisk avgörande för yrkes</w:t>
      </w:r>
      <w:r>
        <w:t xml:space="preserve">fiskets bidrag till strategins genomförande i Gävleborg.  </w:t>
      </w:r>
    </w:p>
    <w:p w:rsidR="00985029" w:rsidRDefault="00F155D2">
      <w:pPr>
        <w:spacing w:after="314"/>
        <w:ind w:left="1092" w:right="1061"/>
      </w:pPr>
      <w:proofErr w:type="spellStart"/>
      <w:r>
        <w:t>HaV:s</w:t>
      </w:r>
      <w:proofErr w:type="spellEnd"/>
      <w:r>
        <w:t xml:space="preserve"> metod och förslag tar inte hänsyn till geografi eller geografiska avstånd och missar därför fiskets betydelse för livsmedelsförsörjning och livsmedelsproduktion i en regional kontext. Detta s</w:t>
      </w:r>
      <w:r>
        <w:t xml:space="preserve">tår i konflikt med Gävleborgs handlingsplan för den nationella livsmedelsstrategin där det regionala perspektivet är centralt, bland annat utifrån självförsörjningsgrad och minskade behov av transporter.    </w:t>
      </w:r>
    </w:p>
    <w:p w:rsidR="00985029" w:rsidRDefault="00F155D2">
      <w:pPr>
        <w:spacing w:after="9" w:line="321" w:lineRule="auto"/>
        <w:ind w:left="-5" w:right="0"/>
      </w:pPr>
      <w:r>
        <w:rPr>
          <w:rFonts w:ascii="Arial" w:eastAsia="Arial" w:hAnsi="Arial" w:cs="Arial"/>
          <w:b/>
          <w:sz w:val="16"/>
        </w:rPr>
        <w:t>Postadress Besöksadress Telefon Telefax E-post</w:t>
      </w:r>
      <w:r>
        <w:rPr>
          <w:rFonts w:ascii="Arial" w:eastAsia="Arial" w:hAnsi="Arial" w:cs="Arial"/>
          <w:sz w:val="16"/>
        </w:rPr>
        <w:t xml:space="preserve"> </w:t>
      </w:r>
      <w:r>
        <w:rPr>
          <w:rFonts w:ascii="Arial" w:eastAsia="Arial" w:hAnsi="Arial" w:cs="Arial"/>
          <w:color w:val="0000FF"/>
          <w:sz w:val="16"/>
          <w:u w:val="single" w:color="0000FF"/>
        </w:rPr>
        <w:t>r</w:t>
      </w:r>
      <w:r>
        <w:rPr>
          <w:rFonts w:ascii="Arial" w:eastAsia="Arial" w:hAnsi="Arial" w:cs="Arial"/>
          <w:color w:val="0000FF"/>
          <w:sz w:val="16"/>
          <w:u w:val="single" w:color="0000FF"/>
        </w:rPr>
        <w:t>g@regiongavleborg.se</w:t>
      </w:r>
      <w:r>
        <w:rPr>
          <w:rFonts w:ascii="Arial" w:eastAsia="Arial" w:hAnsi="Arial" w:cs="Arial"/>
          <w:sz w:val="16"/>
        </w:rPr>
        <w:t xml:space="preserve"> </w:t>
      </w:r>
      <w:r>
        <w:rPr>
          <w:rFonts w:ascii="Arial" w:eastAsia="Arial" w:hAnsi="Arial" w:cs="Arial"/>
          <w:b/>
          <w:sz w:val="16"/>
        </w:rPr>
        <w:t xml:space="preserve">Bankgiro </w:t>
      </w:r>
      <w:r>
        <w:rPr>
          <w:rFonts w:ascii="Arial" w:eastAsia="Arial" w:hAnsi="Arial" w:cs="Arial"/>
          <w:sz w:val="16"/>
        </w:rPr>
        <w:t xml:space="preserve">5031-9771 801 88 Gävle Rektorsgatan 1 026-15 40 00 026-15 57 00 </w:t>
      </w:r>
      <w:r>
        <w:rPr>
          <w:rFonts w:ascii="Arial" w:eastAsia="Arial" w:hAnsi="Arial" w:cs="Arial"/>
          <w:b/>
          <w:sz w:val="16"/>
        </w:rPr>
        <w:t>Internet</w:t>
      </w:r>
      <w:r>
        <w:rPr>
          <w:rFonts w:ascii="Arial" w:eastAsia="Arial" w:hAnsi="Arial" w:cs="Arial"/>
          <w:sz w:val="16"/>
        </w:rPr>
        <w:t xml:space="preserve"> www.regiongavleborg.se </w:t>
      </w:r>
      <w:r>
        <w:rPr>
          <w:rFonts w:ascii="Arial" w:eastAsia="Arial" w:hAnsi="Arial" w:cs="Arial"/>
          <w:b/>
          <w:sz w:val="16"/>
        </w:rPr>
        <w:t>Org. nr.</w:t>
      </w:r>
      <w:r>
        <w:rPr>
          <w:rFonts w:ascii="Arial" w:eastAsia="Arial" w:hAnsi="Arial" w:cs="Arial"/>
          <w:sz w:val="16"/>
        </w:rPr>
        <w:t xml:space="preserve"> 232100-0198 </w:t>
      </w:r>
    </w:p>
    <w:p w:rsidR="00985029" w:rsidRDefault="00F155D2">
      <w:pPr>
        <w:spacing w:line="259" w:lineRule="auto"/>
        <w:ind w:left="1097" w:right="0" w:firstLine="0"/>
      </w:pPr>
      <w:r>
        <w:lastRenderedPageBreak/>
        <w:t xml:space="preserve"> </w:t>
      </w:r>
    </w:p>
    <w:p w:rsidR="00985029" w:rsidRDefault="00F155D2">
      <w:pPr>
        <w:spacing w:after="141" w:line="259" w:lineRule="auto"/>
        <w:ind w:left="626" w:right="0" w:firstLine="0"/>
        <w:jc w:val="center"/>
      </w:pPr>
      <w:r>
        <w:rPr>
          <w:noProof/>
        </w:rPr>
        <w:drawing>
          <wp:anchor distT="0" distB="0" distL="114300" distR="114300" simplePos="0" relativeHeight="251661312" behindDoc="0" locked="0" layoutInCell="1" allowOverlap="0">
            <wp:simplePos x="0" y="0"/>
            <wp:positionH relativeFrom="column">
              <wp:posOffset>397510</wp:posOffset>
            </wp:positionH>
            <wp:positionV relativeFrom="paragraph">
              <wp:posOffset>-2894</wp:posOffset>
            </wp:positionV>
            <wp:extent cx="1333500" cy="390525"/>
            <wp:effectExtent l="0" t="0" r="0" b="0"/>
            <wp:wrapSquare wrapText="bothSides"/>
            <wp:docPr id="307" name="Picture 307"/>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4"/>
                    <a:stretch>
                      <a:fillRect/>
                    </a:stretch>
                  </pic:blipFill>
                  <pic:spPr>
                    <a:xfrm>
                      <a:off x="0" y="0"/>
                      <a:ext cx="1333500" cy="390525"/>
                    </a:xfrm>
                    <a:prstGeom prst="rect">
                      <a:avLst/>
                    </a:prstGeom>
                  </pic:spPr>
                </pic:pic>
              </a:graphicData>
            </a:graphic>
          </wp:anchor>
        </w:drawing>
      </w:r>
      <w:r>
        <w:t xml:space="preserve"> </w:t>
      </w:r>
    </w:p>
    <w:p w:rsidR="00985029" w:rsidRDefault="00F155D2">
      <w:pPr>
        <w:tabs>
          <w:tab w:val="center" w:pos="2727"/>
          <w:tab w:val="center" w:pos="5569"/>
          <w:tab w:val="center" w:pos="6131"/>
          <w:tab w:val="center" w:pos="8830"/>
        </w:tabs>
        <w:spacing w:after="35" w:line="259" w:lineRule="auto"/>
        <w:ind w:left="0" w:right="0" w:firstLine="0"/>
      </w:pPr>
      <w:r>
        <w:rPr>
          <w:rFonts w:ascii="Calibri" w:eastAsia="Calibri" w:hAnsi="Calibri" w:cs="Calibri"/>
          <w:sz w:val="22"/>
        </w:rPr>
        <w:tab/>
      </w:r>
      <w:r>
        <w:t xml:space="preserve"> </w:t>
      </w:r>
      <w:r>
        <w:tab/>
      </w:r>
      <w:r>
        <w:rPr>
          <w:rFonts w:ascii="Arial" w:eastAsia="Arial" w:hAnsi="Arial" w:cs="Arial"/>
          <w:b/>
          <w:sz w:val="16"/>
        </w:rPr>
        <w:t xml:space="preserve"> </w:t>
      </w:r>
      <w:r>
        <w:rPr>
          <w:rFonts w:ascii="Arial" w:eastAsia="Arial" w:hAnsi="Arial" w:cs="Arial"/>
          <w:b/>
          <w:sz w:val="16"/>
        </w:rPr>
        <w:tab/>
      </w:r>
      <w:r>
        <w:rPr>
          <w:rFonts w:ascii="Arial" w:eastAsia="Arial" w:hAnsi="Arial" w:cs="Arial"/>
          <w:sz w:val="16"/>
        </w:rPr>
        <w:t xml:space="preserve"> </w:t>
      </w:r>
      <w:r>
        <w:rPr>
          <w:rFonts w:ascii="Arial" w:eastAsia="Arial" w:hAnsi="Arial" w:cs="Arial"/>
          <w:sz w:val="16"/>
        </w:rPr>
        <w:tab/>
      </w:r>
      <w:r>
        <w:rPr>
          <w:rFonts w:ascii="Arial" w:eastAsia="Arial" w:hAnsi="Arial" w:cs="Arial"/>
          <w:b/>
          <w:sz w:val="16"/>
        </w:rPr>
        <w:t xml:space="preserve">Dnr RS 2024/1176 </w:t>
      </w:r>
    </w:p>
    <w:p w:rsidR="00985029" w:rsidRDefault="00F155D2">
      <w:pPr>
        <w:spacing w:after="56" w:line="259" w:lineRule="auto"/>
        <w:ind w:left="627" w:right="0" w:firstLine="0"/>
      </w:pPr>
      <w:r>
        <w:t xml:space="preserve"> </w:t>
      </w:r>
      <w:r>
        <w:tab/>
      </w:r>
      <w:r>
        <w:rPr>
          <w:rFonts w:ascii="Arial" w:eastAsia="Arial" w:hAnsi="Arial" w:cs="Arial"/>
          <w:b/>
          <w:sz w:val="16"/>
        </w:rPr>
        <w:t xml:space="preserve"> </w:t>
      </w:r>
      <w:r>
        <w:rPr>
          <w:rFonts w:ascii="Arial" w:eastAsia="Arial" w:hAnsi="Arial" w:cs="Arial"/>
          <w:b/>
          <w:sz w:val="16"/>
        </w:rPr>
        <w:tab/>
      </w:r>
      <w:r>
        <w:rPr>
          <w:rFonts w:ascii="Arial" w:eastAsia="Arial" w:hAnsi="Arial" w:cs="Arial"/>
          <w:sz w:val="16"/>
        </w:rPr>
        <w:t xml:space="preserve"> </w:t>
      </w:r>
      <w:r>
        <w:rPr>
          <w:rFonts w:ascii="Arial" w:eastAsia="Arial" w:hAnsi="Arial" w:cs="Arial"/>
          <w:sz w:val="16"/>
        </w:rPr>
        <w:tab/>
      </w:r>
      <w:r>
        <w:rPr>
          <w:rFonts w:ascii="Arial" w:eastAsia="Arial" w:hAnsi="Arial" w:cs="Arial"/>
          <w:b/>
          <w:sz w:val="16"/>
        </w:rPr>
        <w:t xml:space="preserve"> </w:t>
      </w:r>
      <w:r>
        <w:rPr>
          <w:rFonts w:ascii="Arial" w:eastAsia="Arial" w:hAnsi="Arial" w:cs="Arial"/>
          <w:b/>
          <w:sz w:val="16"/>
        </w:rPr>
        <w:tab/>
      </w:r>
      <w:r>
        <w:rPr>
          <w:rFonts w:ascii="Arial" w:eastAsia="Arial" w:hAnsi="Arial" w:cs="Arial"/>
          <w:sz w:val="16"/>
        </w:rPr>
        <w:t xml:space="preserve"> </w:t>
      </w:r>
    </w:p>
    <w:p w:rsidR="00985029" w:rsidRDefault="00F155D2">
      <w:pPr>
        <w:tabs>
          <w:tab w:val="center" w:pos="627"/>
          <w:tab w:val="center" w:pos="5569"/>
          <w:tab w:val="center" w:pos="6131"/>
          <w:tab w:val="center" w:pos="8118"/>
          <w:tab w:val="center" w:pos="8920"/>
        </w:tabs>
        <w:spacing w:after="83" w:line="220" w:lineRule="auto"/>
        <w:ind w:left="0" w:right="0" w:firstLine="0"/>
      </w:pPr>
      <w:r>
        <w:rPr>
          <w:rFonts w:ascii="Calibri" w:eastAsia="Calibri" w:hAnsi="Calibri" w:cs="Calibri"/>
          <w:sz w:val="22"/>
        </w:rPr>
        <w:tab/>
      </w:r>
      <w:r>
        <w:t xml:space="preserve"> </w:t>
      </w:r>
      <w:r>
        <w:tab/>
      </w:r>
      <w:r>
        <w:rPr>
          <w:rFonts w:ascii="Arial" w:eastAsia="Arial" w:hAnsi="Arial" w:cs="Arial"/>
          <w:b/>
          <w:sz w:val="16"/>
        </w:rPr>
        <w:t xml:space="preserve"> </w:t>
      </w:r>
      <w:r>
        <w:rPr>
          <w:rFonts w:ascii="Arial" w:eastAsia="Arial" w:hAnsi="Arial" w:cs="Arial"/>
          <w:b/>
          <w:sz w:val="16"/>
        </w:rPr>
        <w:tab/>
      </w:r>
      <w:r>
        <w:rPr>
          <w:rFonts w:ascii="Arial" w:eastAsia="Arial" w:hAnsi="Arial" w:cs="Arial"/>
          <w:sz w:val="16"/>
        </w:rPr>
        <w:t xml:space="preserve"> </w:t>
      </w:r>
      <w:r>
        <w:rPr>
          <w:rFonts w:ascii="Arial" w:eastAsia="Arial" w:hAnsi="Arial" w:cs="Arial"/>
          <w:sz w:val="16"/>
        </w:rPr>
        <w:tab/>
      </w:r>
      <w:r>
        <w:rPr>
          <w:rFonts w:ascii="Arial" w:eastAsia="Arial" w:hAnsi="Arial" w:cs="Arial"/>
          <w:b/>
          <w:sz w:val="16"/>
        </w:rPr>
        <w:t xml:space="preserve"> </w:t>
      </w:r>
      <w:r>
        <w:rPr>
          <w:rFonts w:ascii="Arial" w:eastAsia="Arial" w:hAnsi="Arial" w:cs="Arial"/>
          <w:b/>
          <w:sz w:val="16"/>
        </w:rPr>
        <w:tab/>
      </w:r>
      <w:r>
        <w:rPr>
          <w:rFonts w:ascii="Arial" w:eastAsia="Arial" w:hAnsi="Arial" w:cs="Arial"/>
          <w:sz w:val="16"/>
        </w:rPr>
        <w:t xml:space="preserve">Sida </w:t>
      </w:r>
      <w:r>
        <w:rPr>
          <w:rFonts w:ascii="Arial" w:eastAsia="Arial" w:hAnsi="Arial" w:cs="Arial"/>
          <w:b/>
          <w:sz w:val="16"/>
        </w:rPr>
        <w:t>2</w:t>
      </w:r>
      <w:r>
        <w:rPr>
          <w:rFonts w:ascii="Arial" w:eastAsia="Arial" w:hAnsi="Arial" w:cs="Arial"/>
          <w:sz w:val="16"/>
        </w:rPr>
        <w:t xml:space="preserve"> av </w:t>
      </w:r>
      <w:r>
        <w:rPr>
          <w:rFonts w:ascii="Arial" w:eastAsia="Arial" w:hAnsi="Arial" w:cs="Arial"/>
          <w:b/>
          <w:sz w:val="16"/>
        </w:rPr>
        <w:t>2</w:t>
      </w:r>
      <w:r>
        <w:rPr>
          <w:rFonts w:ascii="Arial" w:eastAsia="Arial" w:hAnsi="Arial" w:cs="Arial"/>
          <w:sz w:val="16"/>
        </w:rPr>
        <w:t xml:space="preserve"> </w:t>
      </w:r>
    </w:p>
    <w:p w:rsidR="00985029" w:rsidRDefault="00F155D2">
      <w:pPr>
        <w:spacing w:line="259" w:lineRule="auto"/>
        <w:ind w:left="1097" w:right="0" w:firstLine="0"/>
      </w:pPr>
      <w:r>
        <w:rPr>
          <w:sz w:val="28"/>
        </w:rPr>
        <w:t xml:space="preserve"> </w:t>
      </w:r>
    </w:p>
    <w:p w:rsidR="00985029" w:rsidRDefault="00F155D2">
      <w:pPr>
        <w:pStyle w:val="Rubrik1"/>
      </w:pPr>
      <w:r>
        <w:t xml:space="preserve">Gävleborgs regionala utvecklingsstrategi </w:t>
      </w:r>
    </w:p>
    <w:p w:rsidR="00985029" w:rsidRDefault="00F155D2">
      <w:pPr>
        <w:ind w:left="1092" w:right="1061"/>
      </w:pPr>
      <w:r>
        <w:t>Som regionalt utvecklingsansvarig myndighet ansvarar Region Gävleborg för genomförandet av de uppgifter som anges i lagen (2010:630) om regionalt utvecklingsansvar. I lagen anges att Region Gävleborg ska utarbeta och fastställa en strategi för länets utvec</w:t>
      </w:r>
      <w:r>
        <w:t xml:space="preserve">kling, samordna insatser för genomförandet av strategin, besluta om användningen av vissa statliga medel för regionalt tillväxtarbete samt att upprätta och fastställa en länsplan för regional transportinfrastruktur. </w:t>
      </w:r>
    </w:p>
    <w:p w:rsidR="00985029" w:rsidRDefault="00F155D2">
      <w:pPr>
        <w:ind w:left="1092" w:right="1061"/>
      </w:pPr>
      <w:r>
        <w:t>I egenskap av regionalt utvecklingsansv</w:t>
      </w:r>
      <w:r>
        <w:t>arig myndighet vill Region Gävleborg uppmärksamma att yrkesfiske på lämpliga platser längs hela länets kust är avgörande för den Regionala utvecklingsstrategins genomförande, i synnerhet gällande näringslivsutveckling, besöksnäring, restaurangverksamhet, l</w:t>
      </w:r>
      <w:r>
        <w:t xml:space="preserve">ivsmedelshandel och möjligheter att bo, verka och leva i hela länet.  </w:t>
      </w:r>
    </w:p>
    <w:p w:rsidR="00985029" w:rsidRDefault="00F155D2">
      <w:pPr>
        <w:spacing w:line="259" w:lineRule="auto"/>
        <w:ind w:left="1097" w:right="0" w:firstLine="0"/>
      </w:pPr>
      <w:r>
        <w:t xml:space="preserve"> </w:t>
      </w:r>
    </w:p>
    <w:p w:rsidR="00985029" w:rsidRDefault="00F155D2">
      <w:pPr>
        <w:spacing w:line="259" w:lineRule="auto"/>
        <w:ind w:left="1097" w:right="0" w:firstLine="0"/>
      </w:pPr>
      <w:r>
        <w:t xml:space="preserve"> </w:t>
      </w:r>
    </w:p>
    <w:p w:rsidR="00985029" w:rsidRDefault="00F155D2">
      <w:pPr>
        <w:spacing w:line="259" w:lineRule="auto"/>
        <w:ind w:left="1097" w:right="0" w:firstLine="0"/>
      </w:pPr>
      <w:r>
        <w:t xml:space="preserve"> </w:t>
      </w:r>
    </w:p>
    <w:p w:rsidR="00985029" w:rsidRDefault="00F155D2">
      <w:pPr>
        <w:spacing w:line="259" w:lineRule="auto"/>
        <w:ind w:left="1097" w:right="0" w:firstLine="0"/>
      </w:pPr>
      <w:r>
        <w:t xml:space="preserve"> </w:t>
      </w:r>
    </w:p>
    <w:p w:rsidR="00985029" w:rsidRDefault="00F155D2">
      <w:pPr>
        <w:spacing w:line="259" w:lineRule="auto"/>
        <w:ind w:left="1097" w:right="0" w:firstLine="0"/>
      </w:pPr>
      <w:r>
        <w:t xml:space="preserve"> </w:t>
      </w:r>
    </w:p>
    <w:p w:rsidR="00985029" w:rsidRDefault="00F155D2">
      <w:pPr>
        <w:ind w:left="1092" w:right="1061"/>
      </w:pPr>
      <w:r>
        <w:t xml:space="preserve">Patrik Stenvard </w:t>
      </w:r>
    </w:p>
    <w:p w:rsidR="00985029" w:rsidRDefault="00F155D2">
      <w:pPr>
        <w:ind w:left="1092" w:right="1061"/>
      </w:pPr>
      <w:r>
        <w:t xml:space="preserve">Regionstyrelsens ordförande </w:t>
      </w:r>
    </w:p>
    <w:p w:rsidR="00985029" w:rsidRDefault="00F155D2">
      <w:pPr>
        <w:spacing w:line="259" w:lineRule="auto"/>
        <w:ind w:left="2205" w:right="0" w:firstLine="0"/>
        <w:jc w:val="center"/>
      </w:pPr>
      <w:proofErr w:type="spellStart"/>
      <w:r>
        <w:t>Katrien</w:t>
      </w:r>
      <w:proofErr w:type="spellEnd"/>
      <w:r>
        <w:t xml:space="preserve"> </w:t>
      </w:r>
      <w:proofErr w:type="spellStart"/>
      <w:r>
        <w:t>Vanhaverbeke</w:t>
      </w:r>
      <w:proofErr w:type="spellEnd"/>
      <w:r>
        <w:t xml:space="preserve"> </w:t>
      </w:r>
    </w:p>
    <w:p w:rsidR="00985029" w:rsidRDefault="00F155D2">
      <w:pPr>
        <w:ind w:left="5077" w:right="1061"/>
      </w:pPr>
      <w:r>
        <w:t xml:space="preserve">Regional Utvecklingsdirektör </w:t>
      </w:r>
    </w:p>
    <w:p w:rsidR="00985029" w:rsidRDefault="00F155D2">
      <w:pPr>
        <w:spacing w:line="259" w:lineRule="auto"/>
        <w:ind w:left="103" w:right="0" w:firstLine="0"/>
        <w:jc w:val="center"/>
      </w:pPr>
      <w:r>
        <w:t xml:space="preserve"> </w:t>
      </w:r>
    </w:p>
    <w:p w:rsidR="00985029" w:rsidRDefault="00F155D2">
      <w:pPr>
        <w:spacing w:line="259" w:lineRule="auto"/>
        <w:ind w:left="103" w:right="0" w:firstLine="0"/>
        <w:jc w:val="center"/>
      </w:pPr>
      <w:r>
        <w:t xml:space="preserve"> </w:t>
      </w:r>
    </w:p>
    <w:sectPr w:rsidR="00985029">
      <w:pgSz w:w="11906" w:h="16838"/>
      <w:pgMar w:top="725" w:right="926" w:bottom="457" w:left="8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029"/>
    <w:rsid w:val="00217DDF"/>
    <w:rsid w:val="00985029"/>
    <w:rsid w:val="00F155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DA58"/>
  <w15:docId w15:val="{91BBF8F9-FA47-4559-8D40-4ADBF8DC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107" w:right="1044" w:hanging="10"/>
    </w:pPr>
    <w:rPr>
      <w:rFonts w:ascii="Times New Roman" w:eastAsia="Times New Roman" w:hAnsi="Times New Roman" w:cs="Times New Roman"/>
      <w:color w:val="000000"/>
      <w:sz w:val="24"/>
    </w:rPr>
  </w:style>
  <w:style w:type="paragraph" w:styleId="Rubrik1">
    <w:name w:val="heading 1"/>
    <w:next w:val="Normal"/>
    <w:link w:val="Rubrik1Char"/>
    <w:uiPriority w:val="9"/>
    <w:unhideWhenUsed/>
    <w:qFormat/>
    <w:pPr>
      <w:keepNext/>
      <w:keepLines/>
      <w:spacing w:after="0"/>
      <w:ind w:left="1097"/>
      <w:outlineLvl w:val="0"/>
    </w:pPr>
    <w:rPr>
      <w:rFonts w:ascii="Times New Roman" w:eastAsia="Times New Roman" w:hAnsi="Times New Roman" w:cs="Times New Roman"/>
      <w:b/>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3520</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Region Gävleborg</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Krappedal Christian - FÖRTRO - Politisk sekreterare</dc:creator>
  <cp:keywords/>
  <cp:lastModifiedBy>Krappedal Christian - FÖRTRO - Politisk sekreterare</cp:lastModifiedBy>
  <cp:revision>3</cp:revision>
  <dcterms:created xsi:type="dcterms:W3CDTF">2024-05-02T07:44:00Z</dcterms:created>
  <dcterms:modified xsi:type="dcterms:W3CDTF">2024-05-02T07:45:00Z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-779071530</vt:i4>
  </property>
  <property fmtid="{D5CDD505-2E9C-101B-9397-08002B2CF9AE}" pid="3" name="_NewReviewCycle">
    <vt:lpwstr/>
  </property>
  <property fmtid="{D5CDD505-2E9C-101B-9397-08002B2CF9AE}" pid="4" name="_EmailSubject">
    <vt:lpwstr>fil hav</vt:lpwstr>
  </property>
  <property fmtid="{D5CDD505-2E9C-101B-9397-08002B2CF9AE}" pid="5" name="_AuthorEmail">
    <vt:lpwstr>daniel.nilsson@regiongavleborg.se</vt:lpwstr>
  </property>
  <property fmtid="{D5CDD505-2E9C-101B-9397-08002B2CF9AE}" pid="6" name="_AuthorEmailDisplayName">
    <vt:lpwstr>Nilsson Daniel - KOMF - Kommunikationsstab</vt:lpwstr>
  </property>
  <property fmtid="{D5CDD505-2E9C-101B-9397-08002B2CF9AE}" pid="7" name="_PreviousAdHocReviewCycleID">
    <vt:i4>-1199014464</vt:i4>
  </property>
</Properties>
</file>